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Data dostarczenia  zgodna z dyspozycją art. 61 pkt. 2 Ustawy Kodeks Cywilny (t.j. Dz. U. z 2020 r. poz. 1740)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Preambuła Wniosku/Petycji*: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(t.j.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 - skończywszy na gminach, które w trybie Ustawy o dostępie do informacji publicznej - udzielały informacji (jak wynika przynajmniej z kontentu odpowiedzi) świadczących o całkowitej nieznajomości tematu i podstawowych zagadnień z tym związanych - sic ! 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Dlatego biorąc pod uwagę powyższe, oraz uzasadniony społecznie - interes pro publico bono, wnosimy: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Osnowa Wniosku: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(t.j. Dz. U. z 2022 r. poz. 902) 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o udzielenie informacji publicznej w przedmiocie  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(t.j. Dz. U. z 2022 r. poz. 503, 1846)  w związku z przepisami Ustawa z dnia 16 kwietnia 2020 r. o zmianie ustawy – Prawo geodezyjne i kartograficzne oraz niektórych innych ustaw (Dz. U. z 2020 r. poz. 782).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Natomiast 50% - to zapewnienie możliwości pobierania kopii danych przestrzennych APP i ich zbiorów (np. za pośrednictwem usługi pobierania ATOM).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Wszystko oczywiście ma być wykonane - jak zwykle za pieniądze Podatników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Czytając wyroki, aż trudno nadziwić się bezczynności, jaką prezentują urzędnicy w tym obszarze zadań powierzonych im przez Ustawodawcę i Podatników.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Zatem prawa Podatników zagwarantowane ww. aktami prawa oraz określone i uszczegółowione dodatkowo w Ustawie z dnia 4 marca 2010 r. o infrastrukturze informacji przestrzennej (t.j. Dz. U. z 2021 r. poz. 214) oraz w  Ustawie z dnia 11 sierpnia 2021 r. o otwartych danych i ponownym wykorzystywaniu informacji sektora publicznego (Dz. U. z 2021 r. poz. 1641, ze zm.) - są często martwe.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A priori zastrzegamy sobie możliwość opublikowania wybranych odpowiedzi na na naszych portalach i jak zwykle wnosimy o pełną publikację poniższej petycji.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Dodatkowo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§1.2) Na mocy wzmiankowanych powyżej przepisów, art. 61 Konstytucji RP, w trybie art. 6 ust. 1  Ustawy o dost. do inf. publ. (t.j. Dz. U. z 2020 r. poz. 2176) wnosimy o podanie danych kontaktowych urzędnika, który w ramach powierzonych mu kompetencji i zadań odpowiedzialny jest w Urzędzie za wyżej sygnalizowany obszar zadań publicznych.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§1.3) 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Notabene chcemy działać w pełni jawnie i transparentnie, mamy nadzieję, że Urząd również.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II - Petycja Odrębna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en-bloc - w jednym piśmie.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dostępny w sieci Internet.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Nie musimy dodawać, że jesteśmy przekonani, iż ewentualne postępowania będą prowadzone z uwzględnieniem zasad uczciwej konkurencji - i o wyborze ewentualnego oferenta będą decydować jedynie  ustalone przez Decydentów kryteria związane inter alia z zaspokojeniem aktualnego stanu prawnego, bezpieczeństwem oraz racjonalnym i 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oszczędnym 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wydatkowaniem środków publicznych. 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(t.j. Dz. U. z 2019 r. poz. 162, 1590)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Współwnioskodawca: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Osoba Prawna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Szulc-Efekt sp. z o. o.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Prezes Zarządu - Adam Szulc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ul. Poligonowa 1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04-051 Warszawa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nr KRS: 0000059459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Kapitał Zakładowy: 222.000,00 pln </w:t>
      </w:r>
    </w:p>
    <w:p>
      <w:pPr>
        <w:pStyle w:val="Normal"/>
        <w:jc w:val="both"/>
        <w:rPr/>
      </w:pPr>
      <w:hyperlink r:id="rId2">
        <w:r>
          <w:rPr>
            <w:rStyle w:val="ListLabel1"/>
            <w:rFonts w:eastAsia="Times New Roman" w:cs="Arial" w:ascii="Arial" w:hAnsi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Jawność i transparentność 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Zatem pomimo formy zewnętrznej - Decydenci mogą/powinni dokonać własnej interpretacji  pisma - zgodnie z brzmieniem art. 222 KPA.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Pamiętajmy również o przepisach zawartych inter alia: w 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Adresatem Petycji - jest Organ ujawniony w komparycji.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* - niepotrzebne - pominąć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828c6"/>
    <w:rPr/>
  </w:style>
  <w:style w:type="character" w:styleId="Czeinternetowe">
    <w:name w:val="Łącze internetowe"/>
    <w:basedOn w:val="DefaultParagraphFont"/>
    <w:uiPriority w:val="99"/>
    <w:semiHidden/>
    <w:unhideWhenUsed/>
    <w:rsid w:val="00f828c6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mi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LibreOffice/6.3.2.2$Windows_X86_64 LibreOffice_project/98b30e735bda24bc04ab42594c85f7fd8be07b9c</Application>
  <Pages>6</Pages>
  <Words>2632</Words>
  <Characters>15705</Characters>
  <CharactersWithSpaces>18405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2022-10-13T19:16:00Z</dcterms:created>
  <dc:creator>Adam Szulc</dc:creator>
  <dc:description/>
  <dc:language>pl-PL</dc:language>
  <cp:lastModifiedBy>Adam Szulc</cp:lastModifiedBy>
  <dcterms:modified xsi:type="dcterms:W3CDTF">2022-10-13T19:18:00Z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